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5112C" w14:textId="5833266D" w:rsidR="00C14FC4" w:rsidRPr="004F486F" w:rsidRDefault="00C14FC4" w:rsidP="004F486F">
      <w:pPr>
        <w:pStyle w:val="ListParagraph"/>
        <w:numPr>
          <w:ilvl w:val="0"/>
          <w:numId w:val="8"/>
        </w:numPr>
        <w:ind w:left="720"/>
        <w:rPr>
          <w:b/>
          <w:u w:val="single"/>
        </w:rPr>
      </w:pPr>
      <w:r w:rsidRPr="004F486F">
        <w:rPr>
          <w:b/>
          <w:u w:val="single"/>
        </w:rPr>
        <w:t>Charge</w:t>
      </w:r>
    </w:p>
    <w:p w14:paraId="5934A3E9" w14:textId="77777777" w:rsidR="00451C7B" w:rsidRPr="002C6160" w:rsidRDefault="00451C7B" w:rsidP="004F486F">
      <w:pPr>
        <w:ind w:left="360"/>
        <w:rPr>
          <w:sz w:val="16"/>
          <w:szCs w:val="16"/>
        </w:rPr>
      </w:pPr>
    </w:p>
    <w:p w14:paraId="0C74DF78" w14:textId="3D31AC36" w:rsidR="00A31671" w:rsidRPr="002C6160" w:rsidRDefault="00423672" w:rsidP="002C6160">
      <w:pPr>
        <w:ind w:left="360"/>
      </w:pPr>
      <w:r>
        <w:t xml:space="preserve">The Peer Review Committee (PRC) is created as a result of the </w:t>
      </w:r>
      <w:hyperlink r:id="rId7" w:history="1">
        <w:r w:rsidRPr="00D72267">
          <w:rPr>
            <w:rStyle w:val="Hyperlink"/>
          </w:rPr>
          <w:t>Presidential Policy on Sexual Violence and Sexual Harassment (SVSH)</w:t>
        </w:r>
      </w:hyperlink>
      <w:r>
        <w:t xml:space="preserve">.  Its purpose is to </w:t>
      </w:r>
      <w:r w:rsidRPr="00423672">
        <w:t>review and advise the Chancellor (or designee) on recommended discipline regarding early/alternative resolution in faculty SVSH cases</w:t>
      </w:r>
      <w:r>
        <w:t xml:space="preserve">.  At UCI, the PRC serves as an advisory panel to the Vice Provost for Academic Personnel, who is the Chancellor’s Designee for administering faculty discipline under APM </w:t>
      </w:r>
      <w:hyperlink r:id="rId8" w:history="1">
        <w:r w:rsidRPr="00D72267">
          <w:rPr>
            <w:rStyle w:val="Hyperlink"/>
          </w:rPr>
          <w:t>015</w:t>
        </w:r>
      </w:hyperlink>
      <w:r>
        <w:t xml:space="preserve"> and </w:t>
      </w:r>
      <w:hyperlink r:id="rId9" w:history="1">
        <w:r w:rsidRPr="00D72267">
          <w:rPr>
            <w:rStyle w:val="Hyperlink"/>
          </w:rPr>
          <w:t>016</w:t>
        </w:r>
      </w:hyperlink>
      <w:r w:rsidR="00A31671">
        <w:t xml:space="preserve"> </w:t>
      </w:r>
      <w:r w:rsidR="00A31671" w:rsidRPr="002C6160">
        <w:t>and the APPENDIX III. Section II: UCI Procedures for Hearing Complaints of Faculty Code</w:t>
      </w:r>
      <w:r w:rsidR="0058137B" w:rsidRPr="002C6160">
        <w:t xml:space="preserve"> </w:t>
      </w:r>
      <w:r w:rsidR="00A31671" w:rsidRPr="002C6160">
        <w:t>Violations and Grievances by the Senate Committee on Privilege and Tenure (CPT)</w:t>
      </w:r>
      <w:r w:rsidR="002C6160" w:rsidRPr="002C6160">
        <w:t xml:space="preserve">.  The </w:t>
      </w:r>
      <w:hyperlink r:id="rId10" w:history="1">
        <w:r w:rsidR="002C6160" w:rsidRPr="002C6160">
          <w:rPr>
            <w:rStyle w:val="Hyperlink"/>
            <w:rFonts w:ascii="Arial" w:hAnsi="Arial" w:cs="Arial"/>
          </w:rPr>
          <w:t>UCI Sexual Harassment and Sex Offense Investigation and Adjudication Framework for</w:t>
        </w:r>
      </w:hyperlink>
      <w:r w:rsidR="002C6160" w:rsidRPr="002C6160">
        <w:t xml:space="preserve"> Senate Faculty</w:t>
      </w:r>
      <w:r w:rsidR="002C6160">
        <w:t xml:space="preserve"> outlines when the PRC should be engaged. </w:t>
      </w:r>
    </w:p>
    <w:p w14:paraId="434F0677" w14:textId="77777777" w:rsidR="00C14FC4" w:rsidRDefault="00C14FC4" w:rsidP="00423672"/>
    <w:p w14:paraId="16994362" w14:textId="7E63E247" w:rsidR="001C5378" w:rsidRPr="004F486F" w:rsidRDefault="001C5378" w:rsidP="004F486F">
      <w:pPr>
        <w:pStyle w:val="ListParagraph"/>
        <w:numPr>
          <w:ilvl w:val="0"/>
          <w:numId w:val="8"/>
        </w:numPr>
        <w:ind w:left="720"/>
        <w:rPr>
          <w:b/>
          <w:u w:val="single"/>
        </w:rPr>
      </w:pPr>
      <w:r w:rsidRPr="004F486F">
        <w:rPr>
          <w:b/>
          <w:u w:val="single"/>
        </w:rPr>
        <w:t>Role</w:t>
      </w:r>
    </w:p>
    <w:p w14:paraId="74CC35B0" w14:textId="77777777" w:rsidR="00451C7B" w:rsidRPr="002C6160" w:rsidRDefault="00451C7B" w:rsidP="004F486F">
      <w:pPr>
        <w:ind w:left="360"/>
        <w:rPr>
          <w:sz w:val="16"/>
          <w:szCs w:val="16"/>
        </w:rPr>
      </w:pPr>
    </w:p>
    <w:p w14:paraId="49B7D02E" w14:textId="0FC094B3" w:rsidR="00C14FC4" w:rsidRDefault="00C14FC4" w:rsidP="004F486F">
      <w:pPr>
        <w:ind w:left="360"/>
      </w:pPr>
      <w:r>
        <w:t>The PRC’s role includes:</w:t>
      </w:r>
    </w:p>
    <w:p w14:paraId="0900C815" w14:textId="47BC1785" w:rsidR="00D17CC2" w:rsidRPr="00C14FC4" w:rsidRDefault="002428E7" w:rsidP="004F486F">
      <w:pPr>
        <w:numPr>
          <w:ilvl w:val="0"/>
          <w:numId w:val="1"/>
        </w:numPr>
        <w:tabs>
          <w:tab w:val="clear" w:pos="720"/>
          <w:tab w:val="num" w:pos="1080"/>
        </w:tabs>
        <w:ind w:left="1080"/>
      </w:pPr>
      <w:r w:rsidRPr="00C14FC4">
        <w:t>Review</w:t>
      </w:r>
      <w:r w:rsidR="001C5378">
        <w:t>s Title IX investigation Report when there is a finding of policy violation at the conclusion of a SVSH investigation</w:t>
      </w:r>
    </w:p>
    <w:p w14:paraId="7E088A2B" w14:textId="77777777" w:rsidR="00D17CC2" w:rsidRPr="00C14FC4" w:rsidRDefault="002428E7" w:rsidP="004F486F">
      <w:pPr>
        <w:numPr>
          <w:ilvl w:val="0"/>
          <w:numId w:val="1"/>
        </w:numPr>
        <w:tabs>
          <w:tab w:val="clear" w:pos="720"/>
          <w:tab w:val="num" w:pos="1080"/>
        </w:tabs>
        <w:ind w:left="1080"/>
      </w:pPr>
      <w:r w:rsidRPr="00C14FC4">
        <w:t>Maintains confidentiality</w:t>
      </w:r>
    </w:p>
    <w:p w14:paraId="28A98AD5" w14:textId="77777777" w:rsidR="00D17CC2" w:rsidRPr="00C14FC4" w:rsidRDefault="002428E7" w:rsidP="004F486F">
      <w:pPr>
        <w:numPr>
          <w:ilvl w:val="0"/>
          <w:numId w:val="1"/>
        </w:numPr>
        <w:tabs>
          <w:tab w:val="clear" w:pos="720"/>
          <w:tab w:val="num" w:pos="1080"/>
        </w:tabs>
        <w:ind w:left="1080"/>
      </w:pPr>
      <w:r w:rsidRPr="00C14FC4">
        <w:t>Meets as needed as a group convened by Vice Provost</w:t>
      </w:r>
    </w:p>
    <w:p w14:paraId="0B3FE6EC" w14:textId="77777777" w:rsidR="00D17CC2" w:rsidRPr="00C14FC4" w:rsidRDefault="002428E7" w:rsidP="004F486F">
      <w:pPr>
        <w:numPr>
          <w:ilvl w:val="0"/>
          <w:numId w:val="1"/>
        </w:numPr>
        <w:tabs>
          <w:tab w:val="clear" w:pos="720"/>
          <w:tab w:val="num" w:pos="1080"/>
        </w:tabs>
        <w:ind w:left="1080"/>
      </w:pPr>
      <w:r w:rsidRPr="00C14FC4">
        <w:t xml:space="preserve">Advises on potential disciplinary action or settlement </w:t>
      </w:r>
    </w:p>
    <w:p w14:paraId="2D8AA189" w14:textId="77777777" w:rsidR="00D17CC2" w:rsidRDefault="002428E7" w:rsidP="004F486F">
      <w:pPr>
        <w:numPr>
          <w:ilvl w:val="0"/>
          <w:numId w:val="1"/>
        </w:numPr>
        <w:tabs>
          <w:tab w:val="clear" w:pos="720"/>
          <w:tab w:val="num" w:pos="1080"/>
        </w:tabs>
        <w:ind w:left="1080"/>
      </w:pPr>
      <w:r w:rsidRPr="00C14FC4">
        <w:t>Ensures consistency on disciplinary actions</w:t>
      </w:r>
    </w:p>
    <w:p w14:paraId="6649B961" w14:textId="77777777" w:rsidR="00C14FC4" w:rsidRDefault="00C14FC4" w:rsidP="004F486F">
      <w:pPr>
        <w:ind w:left="360"/>
      </w:pPr>
    </w:p>
    <w:p w14:paraId="17707BFE" w14:textId="23ADF2E5" w:rsidR="00C14FC4" w:rsidRPr="00C14FC4" w:rsidRDefault="00451C7B" w:rsidP="00451C7B">
      <w:pPr>
        <w:ind w:left="360"/>
      </w:pPr>
      <w:r>
        <w:t>The PRC does not c</w:t>
      </w:r>
      <w:r w:rsidR="00A31671">
        <w:t>onduct</w:t>
      </w:r>
      <w:r w:rsidR="002428E7" w:rsidRPr="00C14FC4">
        <w:t xml:space="preserve"> additional investigation</w:t>
      </w:r>
      <w:r>
        <w:t xml:space="preserve"> or m</w:t>
      </w:r>
      <w:r w:rsidR="00C14FC4">
        <w:t>ake final decisions about faculty discipline</w:t>
      </w:r>
      <w:r>
        <w:t>.</w:t>
      </w:r>
    </w:p>
    <w:p w14:paraId="41DFB574" w14:textId="77777777" w:rsidR="00423672" w:rsidRDefault="00423672" w:rsidP="00423672"/>
    <w:p w14:paraId="6E944657" w14:textId="0E8C07E6" w:rsidR="00C14FC4" w:rsidRPr="004F486F" w:rsidRDefault="00C14FC4" w:rsidP="004F486F">
      <w:pPr>
        <w:pStyle w:val="ListParagraph"/>
        <w:numPr>
          <w:ilvl w:val="0"/>
          <w:numId w:val="8"/>
        </w:numPr>
        <w:ind w:left="720"/>
        <w:rPr>
          <w:b/>
          <w:u w:val="single"/>
        </w:rPr>
      </w:pPr>
      <w:r w:rsidRPr="004F486F">
        <w:rPr>
          <w:b/>
          <w:u w:val="single"/>
        </w:rPr>
        <w:t>Membership</w:t>
      </w:r>
    </w:p>
    <w:p w14:paraId="0CF381EE" w14:textId="77777777" w:rsidR="00451C7B" w:rsidRPr="002C6160" w:rsidRDefault="00451C7B" w:rsidP="004F486F">
      <w:pPr>
        <w:ind w:left="360"/>
        <w:rPr>
          <w:sz w:val="16"/>
          <w:szCs w:val="16"/>
        </w:rPr>
      </w:pPr>
    </w:p>
    <w:p w14:paraId="3E40F8DC" w14:textId="4987D8A7" w:rsidR="00423672" w:rsidRDefault="00423672" w:rsidP="004F486F">
      <w:pPr>
        <w:ind w:left="360"/>
      </w:pPr>
      <w:r>
        <w:t xml:space="preserve">The PRC membership consists of </w:t>
      </w:r>
      <w:bookmarkStart w:id="0" w:name="_GoBack"/>
      <w:r w:rsidR="00DB47B0">
        <w:t xml:space="preserve">ten </w:t>
      </w:r>
      <w:r>
        <w:t>(</w:t>
      </w:r>
      <w:r w:rsidR="00DB47B0">
        <w:t>10</w:t>
      </w:r>
      <w:r>
        <w:t xml:space="preserve">) </w:t>
      </w:r>
      <w:bookmarkEnd w:id="0"/>
      <w:r>
        <w:t>senate faculty members, nominated by the UCI Academic Senate and r</w:t>
      </w:r>
      <w:r w:rsidRPr="00423672">
        <w:t>epresent</w:t>
      </w:r>
      <w:r w:rsidR="002C6B66">
        <w:t>s</w:t>
      </w:r>
      <w:r w:rsidRPr="00423672">
        <w:t xml:space="preserve"> diversity with respect to gender/gender preference, academic disciplines, experience/knowledge within Academic Senate’s P&amp;T process</w:t>
      </w:r>
      <w:r w:rsidR="0050281E">
        <w:t xml:space="preserve"> and/or harassment or discrimination</w:t>
      </w:r>
      <w:r>
        <w:t xml:space="preserve">.  </w:t>
      </w:r>
      <w:r w:rsidRPr="00423672">
        <w:t xml:space="preserve"> </w:t>
      </w:r>
      <w:r w:rsidR="00C14FC4">
        <w:t xml:space="preserve">Members of the PRC serve in three (3) year terms at the pleasure of the Vice Provost for Academic Personnel. </w:t>
      </w:r>
    </w:p>
    <w:p w14:paraId="045480EC" w14:textId="77777777" w:rsidR="00365DFC" w:rsidRDefault="00365DFC" w:rsidP="004F486F">
      <w:pPr>
        <w:ind w:left="360"/>
      </w:pPr>
    </w:p>
    <w:p w14:paraId="05551B12" w14:textId="634C024C" w:rsidR="00A36EBA" w:rsidRPr="00A36EBA" w:rsidRDefault="00A31671" w:rsidP="00A36EBA">
      <w:pPr>
        <w:pStyle w:val="ListParagraph"/>
        <w:numPr>
          <w:ilvl w:val="0"/>
          <w:numId w:val="8"/>
        </w:numPr>
        <w:ind w:left="720"/>
      </w:pPr>
      <w:r>
        <w:rPr>
          <w:b/>
          <w:u w:val="single"/>
        </w:rPr>
        <w:t xml:space="preserve">Committee </w:t>
      </w:r>
      <w:r w:rsidR="00A36EBA" w:rsidRPr="00A36EBA">
        <w:rPr>
          <w:b/>
          <w:u w:val="single"/>
        </w:rPr>
        <w:t>Support Staff</w:t>
      </w:r>
    </w:p>
    <w:p w14:paraId="5FFE297B" w14:textId="77777777" w:rsidR="00A36EBA" w:rsidRPr="002C6160" w:rsidRDefault="00A36EBA" w:rsidP="00A36EBA">
      <w:pPr>
        <w:pStyle w:val="ListParagraph"/>
        <w:ind w:left="360"/>
        <w:rPr>
          <w:b/>
          <w:sz w:val="16"/>
          <w:szCs w:val="16"/>
          <w:u w:val="single"/>
        </w:rPr>
      </w:pPr>
    </w:p>
    <w:p w14:paraId="38E28778" w14:textId="1DE6A914" w:rsidR="00365DFC" w:rsidRDefault="00365DFC" w:rsidP="00A36EBA">
      <w:pPr>
        <w:pStyle w:val="ListParagraph"/>
        <w:ind w:left="360"/>
      </w:pPr>
      <w:r>
        <w:t xml:space="preserve">The </w:t>
      </w:r>
      <w:r w:rsidR="00A31671">
        <w:t>Office of Academic Person</w:t>
      </w:r>
      <w:r w:rsidR="0050281E">
        <w:t>nel</w:t>
      </w:r>
      <w:r w:rsidR="00A31671">
        <w:t xml:space="preserve">, specifically the </w:t>
      </w:r>
      <w:r>
        <w:t>Director of Academic Personnel</w:t>
      </w:r>
      <w:r w:rsidR="00A31671">
        <w:t>,</w:t>
      </w:r>
      <w:r>
        <w:t xml:space="preserve"> serves </w:t>
      </w:r>
      <w:r w:rsidR="00A31671">
        <w:t xml:space="preserve">as the PRC’s </w:t>
      </w:r>
      <w:r>
        <w:t xml:space="preserve">staff, </w:t>
      </w:r>
      <w:r w:rsidR="00A31671">
        <w:t>and will coordinate</w:t>
      </w:r>
      <w:r>
        <w:t xml:space="preserve"> meetings for and communications with the PRC.</w:t>
      </w:r>
    </w:p>
    <w:p w14:paraId="3B18986A" w14:textId="77777777" w:rsidR="00A31671" w:rsidRDefault="00A31671" w:rsidP="00A31671">
      <w:pPr>
        <w:pStyle w:val="ListParagraph"/>
        <w:rPr>
          <w:b/>
          <w:u w:val="single"/>
        </w:rPr>
      </w:pPr>
    </w:p>
    <w:p w14:paraId="0BCE459F" w14:textId="4EC1BD9C" w:rsidR="00C14FC4" w:rsidRPr="004F486F" w:rsidRDefault="00C14FC4" w:rsidP="004F486F">
      <w:pPr>
        <w:pStyle w:val="ListParagraph"/>
        <w:numPr>
          <w:ilvl w:val="0"/>
          <w:numId w:val="8"/>
        </w:numPr>
        <w:ind w:left="720"/>
        <w:rPr>
          <w:b/>
          <w:u w:val="single"/>
        </w:rPr>
      </w:pPr>
      <w:r w:rsidRPr="004F486F">
        <w:rPr>
          <w:b/>
          <w:u w:val="single"/>
        </w:rPr>
        <w:t>Training</w:t>
      </w:r>
      <w:r w:rsidR="001C5378" w:rsidRPr="004F486F">
        <w:rPr>
          <w:b/>
          <w:u w:val="single"/>
        </w:rPr>
        <w:t xml:space="preserve"> and Planning</w:t>
      </w:r>
    </w:p>
    <w:p w14:paraId="5D97E1F8" w14:textId="77777777" w:rsidR="00423672" w:rsidRPr="00423672" w:rsidRDefault="00423672" w:rsidP="00423672"/>
    <w:p w14:paraId="12F850C6" w14:textId="583593B6" w:rsidR="00253B6D" w:rsidRDefault="00C14FC4" w:rsidP="004F486F">
      <w:pPr>
        <w:ind w:left="360"/>
      </w:pPr>
      <w:r>
        <w:t xml:space="preserve">Members of the PRC </w:t>
      </w:r>
      <w:r w:rsidR="00451C7B">
        <w:t>are required to attend</w:t>
      </w:r>
      <w:r>
        <w:t xml:space="preserve"> targeted training sessions designed by Academic Personnel and Office of Equal Opportunity and Diversity </w:t>
      </w:r>
      <w:r w:rsidR="00253B6D">
        <w:t>to learn abo</w:t>
      </w:r>
      <w:r w:rsidR="00451C7B">
        <w:t>ut the committee’s role and charge</w:t>
      </w:r>
      <w:r w:rsidR="00253B6D">
        <w:t xml:space="preserve">, as well as the SVSH </w:t>
      </w:r>
      <w:r w:rsidR="00253B6D" w:rsidRPr="00253B6D">
        <w:t>Policy</w:t>
      </w:r>
      <w:r w:rsidR="00253B6D">
        <w:t xml:space="preserve"> including the processes related to complaint, i</w:t>
      </w:r>
      <w:r w:rsidR="00253B6D" w:rsidRPr="00253B6D">
        <w:t>nvestigation</w:t>
      </w:r>
      <w:r w:rsidR="00253B6D">
        <w:t>, adjudication and d</w:t>
      </w:r>
      <w:r w:rsidR="00253B6D" w:rsidRPr="00253B6D">
        <w:t>iscipline</w:t>
      </w:r>
      <w:r w:rsidR="001C5378">
        <w:t xml:space="preserve">. </w:t>
      </w:r>
    </w:p>
    <w:p w14:paraId="3635F039" w14:textId="3D7D2E32" w:rsidR="00B261B1" w:rsidRPr="004F486F" w:rsidRDefault="00B261B1" w:rsidP="004F486F">
      <w:pPr>
        <w:pStyle w:val="ListParagraph"/>
        <w:numPr>
          <w:ilvl w:val="0"/>
          <w:numId w:val="8"/>
        </w:numPr>
        <w:ind w:left="720"/>
        <w:rPr>
          <w:b/>
          <w:u w:val="single"/>
        </w:rPr>
      </w:pPr>
      <w:r w:rsidRPr="004F486F">
        <w:rPr>
          <w:b/>
          <w:u w:val="single"/>
        </w:rPr>
        <w:lastRenderedPageBreak/>
        <w:t>Procedures</w:t>
      </w:r>
    </w:p>
    <w:p w14:paraId="0E86123D" w14:textId="77777777" w:rsidR="00365DFC" w:rsidRPr="002C6160" w:rsidRDefault="00365DFC" w:rsidP="00253B6D">
      <w:pPr>
        <w:rPr>
          <w:b/>
          <w:sz w:val="16"/>
          <w:szCs w:val="16"/>
          <w:u w:val="single"/>
        </w:rPr>
      </w:pPr>
    </w:p>
    <w:p w14:paraId="7E75F2C0" w14:textId="4690B5E6" w:rsidR="00365DFC" w:rsidRDefault="00B261B1" w:rsidP="00B532A0">
      <w:pPr>
        <w:pStyle w:val="ListParagraph"/>
        <w:numPr>
          <w:ilvl w:val="0"/>
          <w:numId w:val="10"/>
        </w:numPr>
      </w:pPr>
      <w:r>
        <w:t xml:space="preserve">Upon receipt of a </w:t>
      </w:r>
      <w:r w:rsidRPr="00B532A0">
        <w:rPr>
          <w:i/>
        </w:rPr>
        <w:t>SVSH</w:t>
      </w:r>
      <w:r>
        <w:t xml:space="preserve"> or </w:t>
      </w:r>
      <w:r w:rsidR="00B532A0" w:rsidRPr="00B532A0">
        <w:rPr>
          <w:i/>
        </w:rPr>
        <w:t>UCI Policy on Conflict of Interest created by Consensual Relationships</w:t>
      </w:r>
      <w:r w:rsidR="00B532A0" w:rsidRPr="00365DFC">
        <w:t xml:space="preserve"> </w:t>
      </w:r>
      <w:r w:rsidR="00B532A0">
        <w:t xml:space="preserve">investigation </w:t>
      </w:r>
      <w:r>
        <w:t>report substantiating a</w:t>
      </w:r>
      <w:r w:rsidR="00365DFC">
        <w:t xml:space="preserve"> finding of</w:t>
      </w:r>
      <w:r>
        <w:t xml:space="preserve"> policy violations, the </w:t>
      </w:r>
      <w:r w:rsidR="00B532A0">
        <w:t xml:space="preserve">Academic Personnel Office (on behalf of </w:t>
      </w:r>
      <w:r>
        <w:t>Vice Provost</w:t>
      </w:r>
      <w:r w:rsidR="00365DFC">
        <w:t xml:space="preserve"> for Academic Personnel (VPAP)</w:t>
      </w:r>
      <w:r w:rsidR="00B532A0">
        <w:t>)</w:t>
      </w:r>
      <w:r>
        <w:t xml:space="preserve"> will </w:t>
      </w:r>
      <w:r w:rsidR="00365DFC">
        <w:t>do the following</w:t>
      </w:r>
      <w:r w:rsidR="0083678E">
        <w:t xml:space="preserve">, </w:t>
      </w:r>
      <w:r w:rsidR="004F6CEA">
        <w:t xml:space="preserve">to </w:t>
      </w:r>
      <w:r w:rsidR="0083678E">
        <w:t>ensur</w:t>
      </w:r>
      <w:r w:rsidR="004F6CEA">
        <w:t>e</w:t>
      </w:r>
      <w:r w:rsidR="0083678E">
        <w:t xml:space="preserve"> that, barring exceptional circumstances, all steps occur in a timely manner in adherence of the timelines stipulated in </w:t>
      </w:r>
      <w:r w:rsidR="004F6CEA">
        <w:t xml:space="preserve">SVSH </w:t>
      </w:r>
      <w:r w:rsidR="0083678E">
        <w:t>policy</w:t>
      </w:r>
      <w:r w:rsidR="00365DFC">
        <w:t>:</w:t>
      </w:r>
    </w:p>
    <w:p w14:paraId="194590F0" w14:textId="77777777" w:rsidR="00365DFC" w:rsidRPr="002C6160" w:rsidRDefault="00365DFC" w:rsidP="00365DFC">
      <w:pPr>
        <w:rPr>
          <w:sz w:val="16"/>
          <w:szCs w:val="16"/>
        </w:rPr>
      </w:pPr>
    </w:p>
    <w:p w14:paraId="5C5F0EDC" w14:textId="7A699F80" w:rsidR="00B532A0" w:rsidRDefault="00365DFC" w:rsidP="00B532A0">
      <w:pPr>
        <w:pStyle w:val="ListParagraph"/>
        <w:numPr>
          <w:ilvl w:val="0"/>
          <w:numId w:val="5"/>
        </w:numPr>
      </w:pPr>
      <w:r>
        <w:t>C</w:t>
      </w:r>
      <w:r w:rsidR="00B261B1">
        <w:t>onstitute a subcommittee</w:t>
      </w:r>
      <w:r w:rsidR="00B532A0">
        <w:t xml:space="preserve"> of three (3) member of the PRC, including informing</w:t>
      </w:r>
      <w:r w:rsidR="00B532A0" w:rsidRPr="00365DFC">
        <w:t xml:space="preserve"> </w:t>
      </w:r>
      <w:r w:rsidR="00B532A0">
        <w:t xml:space="preserve">selected </w:t>
      </w:r>
      <w:r w:rsidR="00B532A0" w:rsidRPr="00365DFC">
        <w:t xml:space="preserve">committee members of the identities of complainant and faculty respondent to check </w:t>
      </w:r>
      <w:r w:rsidR="008A1F50">
        <w:t xml:space="preserve">for any </w:t>
      </w:r>
      <w:r w:rsidR="00B532A0" w:rsidRPr="00365DFC">
        <w:t>conflict of interests/bias</w:t>
      </w:r>
      <w:r w:rsidR="00B532A0">
        <w:t>.</w:t>
      </w:r>
    </w:p>
    <w:p w14:paraId="5F6D56C5" w14:textId="46DF9D67" w:rsidR="004F6CEA" w:rsidRDefault="004F6CEA" w:rsidP="00B532A0">
      <w:pPr>
        <w:pStyle w:val="ListParagraph"/>
        <w:numPr>
          <w:ilvl w:val="0"/>
          <w:numId w:val="5"/>
        </w:numPr>
      </w:pPr>
      <w:r>
        <w:t>Membership of th</w:t>
      </w:r>
      <w:r w:rsidR="00905F15">
        <w:t>e</w:t>
      </w:r>
      <w:r>
        <w:t xml:space="preserve"> subcommittee </w:t>
      </w:r>
      <w:r w:rsidR="00905F15">
        <w:t xml:space="preserve">in VI.A.1 </w:t>
      </w:r>
      <w:r>
        <w:t>will be confidential.</w:t>
      </w:r>
    </w:p>
    <w:p w14:paraId="3244C271" w14:textId="20EB0ACC" w:rsidR="00083D73" w:rsidRDefault="00083D73" w:rsidP="00B261B1">
      <w:pPr>
        <w:pStyle w:val="ListParagraph"/>
        <w:numPr>
          <w:ilvl w:val="0"/>
          <w:numId w:val="5"/>
        </w:numPr>
      </w:pPr>
      <w:r>
        <w:t>Contact the dean and department chair to request a meeting with the VPAP, in order to address their concerns in the matter and to solicit a written recommendation for appropriate action, which will be shared with the PRC.</w:t>
      </w:r>
    </w:p>
    <w:p w14:paraId="3DECC991" w14:textId="15EF9C0C" w:rsidR="00B261B1" w:rsidRDefault="00365DFC" w:rsidP="00B261B1">
      <w:pPr>
        <w:pStyle w:val="ListParagraph"/>
        <w:numPr>
          <w:ilvl w:val="0"/>
          <w:numId w:val="5"/>
        </w:numPr>
      </w:pPr>
      <w:r>
        <w:t>Contact Complainant and Faculty Respondent (separate meetings) to provide an opportunity (as required by SVSH policy) to respond to</w:t>
      </w:r>
      <w:r w:rsidR="008A1F50">
        <w:t xml:space="preserve"> the</w:t>
      </w:r>
      <w:r>
        <w:t xml:space="preserve"> Investigation Report.  Written responses from complainant and faculty respondent </w:t>
      </w:r>
      <w:r w:rsidR="008A1F50">
        <w:t>may be provided</w:t>
      </w:r>
      <w:r>
        <w:t xml:space="preserve"> but</w:t>
      </w:r>
      <w:r w:rsidR="008A1F50">
        <w:t xml:space="preserve"> are</w:t>
      </w:r>
      <w:r>
        <w:t xml:space="preserve"> not required.</w:t>
      </w:r>
    </w:p>
    <w:p w14:paraId="716085B4" w14:textId="6575E59D" w:rsidR="00365DFC" w:rsidRDefault="0058137B" w:rsidP="00B261B1">
      <w:pPr>
        <w:pStyle w:val="ListParagraph"/>
        <w:numPr>
          <w:ilvl w:val="0"/>
          <w:numId w:val="5"/>
        </w:numPr>
      </w:pPr>
      <w:r>
        <w:t>Provide the PRC subcommittee</w:t>
      </w:r>
      <w:r w:rsidR="00365DFC">
        <w:t xml:space="preserve"> with Investigation Report</w:t>
      </w:r>
      <w:r w:rsidR="00083D73">
        <w:t>,</w:t>
      </w:r>
      <w:r w:rsidR="00365DFC">
        <w:t xml:space="preserve"> </w:t>
      </w:r>
      <w:r w:rsidR="00B532A0">
        <w:t>Complaint/Faculty Respondent r</w:t>
      </w:r>
      <w:r w:rsidR="00365DFC">
        <w:t>esponses (if any)</w:t>
      </w:r>
      <w:r w:rsidR="00083D73">
        <w:t xml:space="preserve"> and recommendation from the dean and chair</w:t>
      </w:r>
      <w:r w:rsidR="00B532A0">
        <w:t>.</w:t>
      </w:r>
    </w:p>
    <w:p w14:paraId="6A6CCD19" w14:textId="1A066597" w:rsidR="00365DFC" w:rsidRDefault="00B532A0" w:rsidP="00B261B1">
      <w:pPr>
        <w:pStyle w:val="ListParagraph"/>
        <w:numPr>
          <w:ilvl w:val="0"/>
          <w:numId w:val="5"/>
        </w:numPr>
      </w:pPr>
      <w:r>
        <w:t>Convene a meeting with VPAP and</w:t>
      </w:r>
      <w:r w:rsidR="00365DFC">
        <w:t xml:space="preserve"> PRC subcommittee to discuss</w:t>
      </w:r>
      <w:r w:rsidR="0094067E">
        <w:t xml:space="preserve"> </w:t>
      </w:r>
      <w:r w:rsidR="008A1F50">
        <w:t xml:space="preserve">the </w:t>
      </w:r>
      <w:r w:rsidR="0094067E">
        <w:t>case and recommendation of appropriate disciplinary action or settlement terms</w:t>
      </w:r>
    </w:p>
    <w:p w14:paraId="38B63A08" w14:textId="3478E22D" w:rsidR="0094067E" w:rsidRDefault="0094067E" w:rsidP="0094067E">
      <w:pPr>
        <w:pStyle w:val="ListParagraph"/>
        <w:numPr>
          <w:ilvl w:val="1"/>
          <w:numId w:val="5"/>
        </w:numPr>
      </w:pPr>
      <w:r>
        <w:t xml:space="preserve">Subcommittee may choose to meet on its own to discuss/formulate its recommendation to </w:t>
      </w:r>
      <w:r w:rsidR="002428E7">
        <w:t>VPAP</w:t>
      </w:r>
    </w:p>
    <w:p w14:paraId="5832EB47" w14:textId="0BA6496B" w:rsidR="002428E7" w:rsidRDefault="002428E7" w:rsidP="0094067E">
      <w:pPr>
        <w:pStyle w:val="ListParagraph"/>
        <w:numPr>
          <w:ilvl w:val="1"/>
          <w:numId w:val="5"/>
        </w:numPr>
      </w:pPr>
      <w:r>
        <w:t>Subcommittee to submit its written recommendations on disciplinary action</w:t>
      </w:r>
      <w:r w:rsidR="001634F7">
        <w:t xml:space="preserve"> for the Respondent and additional non-disciplinary measures concerning the Respondent</w:t>
      </w:r>
      <w:r>
        <w:t xml:space="preserve"> to VPAP</w:t>
      </w:r>
    </w:p>
    <w:p w14:paraId="1C89BAF5" w14:textId="1AEF0D99" w:rsidR="002428E7" w:rsidRDefault="002428E7" w:rsidP="0094067E">
      <w:pPr>
        <w:pStyle w:val="ListParagraph"/>
        <w:numPr>
          <w:ilvl w:val="1"/>
          <w:numId w:val="5"/>
        </w:numPr>
      </w:pPr>
      <w:r>
        <w:t>VPAP</w:t>
      </w:r>
      <w:r w:rsidR="001634F7">
        <w:t xml:space="preserve"> will consider PRC’s recommendation in arriving at the final decision on disciplinary action or settlement.  If VPAP</w:t>
      </w:r>
      <w:r>
        <w:t xml:space="preserve"> arrives at a different proposed disciplinary action or settlement terms </w:t>
      </w:r>
      <w:r w:rsidR="001634F7">
        <w:t>that differs from</w:t>
      </w:r>
      <w:r>
        <w:t xml:space="preserve"> the PRC</w:t>
      </w:r>
      <w:r w:rsidR="001634F7">
        <w:t>’s recommendations</w:t>
      </w:r>
      <w:r>
        <w:t>, VPAP will have further discussion with the PRC before making the final decision/recommendation.</w:t>
      </w:r>
    </w:p>
    <w:p w14:paraId="31E5A7D0" w14:textId="77777777" w:rsidR="004C2F52" w:rsidRPr="002C6160" w:rsidRDefault="004C2F52" w:rsidP="004C2F52">
      <w:pPr>
        <w:rPr>
          <w:sz w:val="16"/>
          <w:szCs w:val="16"/>
        </w:rPr>
      </w:pPr>
    </w:p>
    <w:p w14:paraId="362E5C9E" w14:textId="76F69FE2" w:rsidR="004C2F52" w:rsidRDefault="004C2F52" w:rsidP="00B532A0">
      <w:pPr>
        <w:pStyle w:val="ListParagraph"/>
        <w:numPr>
          <w:ilvl w:val="0"/>
          <w:numId w:val="10"/>
        </w:numPr>
      </w:pPr>
      <w:r>
        <w:t xml:space="preserve">In deliberating possible disciplinary action, </w:t>
      </w:r>
      <w:r w:rsidR="008A1F50">
        <w:t xml:space="preserve">the </w:t>
      </w:r>
      <w:r>
        <w:t xml:space="preserve">PRC </w:t>
      </w:r>
      <w:r w:rsidR="00B45E38">
        <w:t>will</w:t>
      </w:r>
      <w:r>
        <w:t xml:space="preserve"> </w:t>
      </w:r>
      <w:r w:rsidR="008A1F50">
        <w:t>follow these guidelines</w:t>
      </w:r>
      <w:r>
        <w:t>:</w:t>
      </w:r>
    </w:p>
    <w:p w14:paraId="022AAB27" w14:textId="5B5EA4A7" w:rsidR="00A36EBA" w:rsidRPr="00A36EBA" w:rsidRDefault="00A36EBA" w:rsidP="00A36EBA">
      <w:pPr>
        <w:pStyle w:val="ListParagraph"/>
        <w:numPr>
          <w:ilvl w:val="1"/>
          <w:numId w:val="12"/>
        </w:numPr>
      </w:pPr>
      <w:r w:rsidRPr="00A36EBA">
        <w:t>The “Peer Review Committee” considers the following principles during deliberations about appropriate sanctions for faculty deemed responsible for sexual harassment and/or assault</w:t>
      </w:r>
      <w:r w:rsidR="007652C1">
        <w:t xml:space="preserve"> or</w:t>
      </w:r>
      <w:r w:rsidR="00B1100B">
        <w:t xml:space="preserve"> </w:t>
      </w:r>
      <w:r w:rsidR="007652C1">
        <w:t>consensual relations policy violation findings</w:t>
      </w:r>
      <w:r w:rsidRPr="00A36EBA">
        <w:t>:</w:t>
      </w:r>
    </w:p>
    <w:p w14:paraId="39F4A8C5" w14:textId="3FA33894" w:rsidR="00A36EBA" w:rsidRPr="00A36EBA" w:rsidRDefault="00A36EBA" w:rsidP="00A36EBA">
      <w:pPr>
        <w:pStyle w:val="ListParagraph"/>
        <w:numPr>
          <w:ilvl w:val="1"/>
          <w:numId w:val="10"/>
        </w:numPr>
      </w:pPr>
      <w:r w:rsidRPr="00A36EBA">
        <w:t>The sanction should, in the first and final instance, serve to protect the student/faculty/staff who filed the complaint (i.e., the Complainant) as well as other students/faculty/staff who could be directly or collaterally harmed by the actions of those found responsible for sexual harassment and/or assault.</w:t>
      </w:r>
    </w:p>
    <w:p w14:paraId="136A171F" w14:textId="77777777" w:rsidR="00FC5C13" w:rsidRDefault="00FC5C13" w:rsidP="00FC5C13"/>
    <w:p w14:paraId="4B16B4D1" w14:textId="0AAECF62" w:rsidR="008A1F50" w:rsidRDefault="00A36EBA" w:rsidP="008A1F50">
      <w:pPr>
        <w:pStyle w:val="ListParagraph"/>
        <w:numPr>
          <w:ilvl w:val="1"/>
          <w:numId w:val="10"/>
        </w:numPr>
      </w:pPr>
      <w:r w:rsidRPr="00A36EBA">
        <w:t>The sanction should communicate an a</w:t>
      </w:r>
      <w:r>
        <w:t>ppropriate three-part message</w:t>
      </w:r>
      <w:r w:rsidR="008A1F50">
        <w:t>:</w:t>
      </w:r>
      <w:r>
        <w:t xml:space="preserve"> </w:t>
      </w:r>
    </w:p>
    <w:p w14:paraId="69838FCA" w14:textId="77777777" w:rsidR="00A36EBA" w:rsidRDefault="00A36EBA" w:rsidP="00A36EBA"/>
    <w:p w14:paraId="130E1338" w14:textId="6F568AD6" w:rsidR="00A36EBA" w:rsidRDefault="008A1F50" w:rsidP="00A36EBA">
      <w:pPr>
        <w:pStyle w:val="ListParagraph"/>
        <w:numPr>
          <w:ilvl w:val="2"/>
          <w:numId w:val="10"/>
        </w:numPr>
      </w:pPr>
      <w:r>
        <w:t xml:space="preserve">That the </w:t>
      </w:r>
      <w:r w:rsidR="0058137B">
        <w:t>U</w:t>
      </w:r>
      <w:r>
        <w:t xml:space="preserve">niversity </w:t>
      </w:r>
      <w:r w:rsidR="00A36EBA" w:rsidRPr="00A36EBA">
        <w:t xml:space="preserve">takes seriously the importance of creating and maintaining an environment in which all are able to learn and work without fear of harm and reprisal for filing a grievance, </w:t>
      </w:r>
    </w:p>
    <w:p w14:paraId="196D9A4F" w14:textId="66192256" w:rsidR="00A36EBA" w:rsidRDefault="0058137B" w:rsidP="00A36EBA">
      <w:pPr>
        <w:pStyle w:val="ListParagraph"/>
        <w:numPr>
          <w:ilvl w:val="2"/>
          <w:numId w:val="10"/>
        </w:numPr>
      </w:pPr>
      <w:r>
        <w:t>T</w:t>
      </w:r>
      <w:r w:rsidR="00A36EBA" w:rsidRPr="00A36EBA">
        <w:t>hat those w</w:t>
      </w:r>
      <w:r w:rsidR="008A1F50">
        <w:t>h</w:t>
      </w:r>
      <w:r w:rsidR="00A36EBA" w:rsidRPr="00A36EBA">
        <w:t xml:space="preserve">o violate that commitment are threats to our values and goals as a learning environment, and </w:t>
      </w:r>
    </w:p>
    <w:p w14:paraId="32FE69D7" w14:textId="26A8AFD4" w:rsidR="00A36EBA" w:rsidRDefault="0058137B" w:rsidP="00A36EBA">
      <w:pPr>
        <w:pStyle w:val="ListParagraph"/>
        <w:numPr>
          <w:ilvl w:val="2"/>
          <w:numId w:val="10"/>
        </w:numPr>
      </w:pPr>
      <w:r>
        <w:t>T</w:t>
      </w:r>
      <w:r w:rsidR="00A36EBA" w:rsidRPr="00A36EBA">
        <w:t xml:space="preserve">hat the </w:t>
      </w:r>
      <w:r>
        <w:t>U</w:t>
      </w:r>
      <w:r w:rsidR="00A36EBA" w:rsidRPr="00A36EBA">
        <w:t>niversity will not tolerate such behavior, and attendant threats.</w:t>
      </w:r>
    </w:p>
    <w:p w14:paraId="5BDADBEF" w14:textId="77777777" w:rsidR="00A36EBA" w:rsidRPr="002C6160" w:rsidRDefault="00A36EBA" w:rsidP="00A36EBA">
      <w:pPr>
        <w:rPr>
          <w:sz w:val="16"/>
          <w:szCs w:val="16"/>
        </w:rPr>
      </w:pPr>
    </w:p>
    <w:p w14:paraId="64232B3C" w14:textId="652F1F91" w:rsidR="00A36EBA" w:rsidRPr="00A36EBA" w:rsidRDefault="00A36EBA" w:rsidP="00A36EBA">
      <w:pPr>
        <w:pStyle w:val="ListParagraph"/>
        <w:numPr>
          <w:ilvl w:val="1"/>
          <w:numId w:val="10"/>
        </w:numPr>
      </w:pPr>
      <w:r w:rsidRPr="00A36EBA">
        <w:t>The sanction should communicate our fundamental commitment to education, which is extended to the person(s) found responsible for sexual harassment and/or assault.</w:t>
      </w:r>
    </w:p>
    <w:p w14:paraId="2F8C0A58" w14:textId="77777777" w:rsidR="00A36EBA" w:rsidRDefault="00A36EBA" w:rsidP="00A36EBA">
      <w:pPr>
        <w:pStyle w:val="ListParagraph"/>
        <w:ind w:left="1440"/>
      </w:pPr>
    </w:p>
    <w:p w14:paraId="2BA3F8A2" w14:textId="5544F033" w:rsidR="004C2F52" w:rsidRDefault="00A36EBA" w:rsidP="00FC5C13">
      <w:pPr>
        <w:pStyle w:val="ListParagraph"/>
        <w:numPr>
          <w:ilvl w:val="1"/>
          <w:numId w:val="12"/>
        </w:numPr>
      </w:pPr>
      <w:r>
        <w:t>Other factors that the PRC may consider in its recommendation of appropriate discipline and/or early resolution include the following:</w:t>
      </w:r>
    </w:p>
    <w:p w14:paraId="740733A1" w14:textId="4C4765B9" w:rsidR="00D219CE" w:rsidRPr="004C2F52" w:rsidRDefault="004B2D47" w:rsidP="00A36EBA">
      <w:pPr>
        <w:numPr>
          <w:ilvl w:val="0"/>
          <w:numId w:val="7"/>
        </w:numPr>
        <w:tabs>
          <w:tab w:val="clear" w:pos="720"/>
          <w:tab w:val="num" w:pos="1800"/>
        </w:tabs>
        <w:ind w:left="1800"/>
      </w:pPr>
      <w:r w:rsidRPr="004C2F52">
        <w:t xml:space="preserve">Prior </w:t>
      </w:r>
      <w:r w:rsidR="00A36EBA">
        <w:t>documented SVSH offenses by the faculty respondent</w:t>
      </w:r>
    </w:p>
    <w:p w14:paraId="5354A6F1" w14:textId="77777777" w:rsidR="00D219CE" w:rsidRPr="004C2F52" w:rsidRDefault="004B2D47" w:rsidP="00A36EBA">
      <w:pPr>
        <w:numPr>
          <w:ilvl w:val="0"/>
          <w:numId w:val="7"/>
        </w:numPr>
        <w:tabs>
          <w:tab w:val="clear" w:pos="720"/>
          <w:tab w:val="num" w:pos="1800"/>
        </w:tabs>
        <w:ind w:left="1800"/>
      </w:pPr>
      <w:r w:rsidRPr="004C2F52">
        <w:t>Level of egregiousness:  unwelcome touching v. pervasive pattern of unwelcome sexualized banter</w:t>
      </w:r>
    </w:p>
    <w:p w14:paraId="71954457" w14:textId="52C4358E" w:rsidR="00D219CE" w:rsidRPr="004C2F52" w:rsidRDefault="004B2D47" w:rsidP="00A36EBA">
      <w:pPr>
        <w:numPr>
          <w:ilvl w:val="0"/>
          <w:numId w:val="7"/>
        </w:numPr>
        <w:tabs>
          <w:tab w:val="clear" w:pos="720"/>
          <w:tab w:val="num" w:pos="1800"/>
        </w:tabs>
        <w:ind w:left="1800"/>
      </w:pPr>
      <w:r w:rsidRPr="004C2F52">
        <w:t xml:space="preserve">Remorse:  Does </w:t>
      </w:r>
      <w:r w:rsidR="00A36EBA">
        <w:t xml:space="preserve">the faculty </w:t>
      </w:r>
      <w:r w:rsidRPr="004C2F52">
        <w:t>respondent take responsibility for the poor judgement?</w:t>
      </w:r>
    </w:p>
    <w:p w14:paraId="066BA0D0" w14:textId="7EFA88EB" w:rsidR="00D219CE" w:rsidRDefault="004B2D47" w:rsidP="00A36EBA">
      <w:pPr>
        <w:numPr>
          <w:ilvl w:val="0"/>
          <w:numId w:val="7"/>
        </w:numPr>
        <w:tabs>
          <w:tab w:val="clear" w:pos="720"/>
          <w:tab w:val="num" w:pos="1800"/>
        </w:tabs>
        <w:ind w:left="1800"/>
      </w:pPr>
      <w:r w:rsidRPr="004C2F52">
        <w:t xml:space="preserve">Evidence of intent or actual act of retaliation against </w:t>
      </w:r>
      <w:r w:rsidR="00A36EBA">
        <w:t>complainant?</w:t>
      </w:r>
    </w:p>
    <w:p w14:paraId="488B4463" w14:textId="11EED0F4" w:rsidR="0058137B" w:rsidRDefault="0058137B" w:rsidP="002C6160"/>
    <w:p w14:paraId="4FB3CBE3" w14:textId="51124F75" w:rsidR="0058137B" w:rsidRDefault="0058137B" w:rsidP="002C6160">
      <w:pPr>
        <w:pStyle w:val="ListParagraph"/>
        <w:numPr>
          <w:ilvl w:val="0"/>
          <w:numId w:val="8"/>
        </w:numPr>
      </w:pPr>
      <w:r>
        <w:t>Process timeline</w:t>
      </w:r>
    </w:p>
    <w:p w14:paraId="15860248" w14:textId="77777777" w:rsidR="0058137B" w:rsidRPr="002C6160" w:rsidRDefault="0058137B" w:rsidP="002C6160">
      <w:pPr>
        <w:pStyle w:val="ListParagraph"/>
        <w:rPr>
          <w:sz w:val="16"/>
          <w:szCs w:val="16"/>
        </w:rPr>
      </w:pPr>
    </w:p>
    <w:p w14:paraId="6580610C" w14:textId="1952BF0B" w:rsidR="00D47C86" w:rsidRDefault="0058137B" w:rsidP="002C6160">
      <w:pPr>
        <w:pStyle w:val="ListParagraph"/>
        <w:numPr>
          <w:ilvl w:val="2"/>
          <w:numId w:val="5"/>
        </w:numPr>
        <w:ind w:left="1080"/>
      </w:pPr>
      <w:r>
        <w:t>Th</w:t>
      </w:r>
      <w:r w:rsidR="004F6CEA">
        <w:t>e entire SVSH case adjudication</w:t>
      </w:r>
      <w:r>
        <w:t xml:space="preserve"> process, from the receipt of the investigation finding on alleged violations</w:t>
      </w:r>
      <w:r w:rsidR="00456D5A">
        <w:t xml:space="preserve"> of the </w:t>
      </w:r>
      <w:r w:rsidRPr="002C6160">
        <w:rPr>
          <w:i/>
        </w:rPr>
        <w:t>SVSH</w:t>
      </w:r>
      <w:r w:rsidR="00456D5A">
        <w:rPr>
          <w:i/>
        </w:rPr>
        <w:t xml:space="preserve"> policy</w:t>
      </w:r>
      <w:r>
        <w:t xml:space="preserve"> or </w:t>
      </w:r>
      <w:r w:rsidR="00456D5A">
        <w:t xml:space="preserve">UCI Policy on </w:t>
      </w:r>
      <w:r w:rsidRPr="002C6160">
        <w:rPr>
          <w:i/>
        </w:rPr>
        <w:t xml:space="preserve">Conflict of Interest </w:t>
      </w:r>
      <w:r w:rsidR="00456D5A">
        <w:rPr>
          <w:i/>
        </w:rPr>
        <w:t>created by</w:t>
      </w:r>
      <w:r w:rsidRPr="002C6160">
        <w:rPr>
          <w:i/>
        </w:rPr>
        <w:t xml:space="preserve"> Consensual Relationships</w:t>
      </w:r>
      <w:r w:rsidR="00456D5A">
        <w:t xml:space="preserve"> to the decision to file charges, if any, with the Privilege &amp; Tenure Committee should be completed within two months (i.e., 40 business days). </w:t>
      </w:r>
    </w:p>
    <w:p w14:paraId="3250823F" w14:textId="0917E41A" w:rsidR="0058137B" w:rsidRDefault="00456D5A" w:rsidP="002C6160">
      <w:pPr>
        <w:pStyle w:val="ListParagraph"/>
        <w:ind w:left="1080"/>
      </w:pPr>
      <w:r>
        <w:t xml:space="preserve">  </w:t>
      </w:r>
    </w:p>
    <w:p w14:paraId="565086CB" w14:textId="0AA01E78" w:rsidR="00065DA6" w:rsidRDefault="003C11EC" w:rsidP="002C6160">
      <w:pPr>
        <w:pStyle w:val="ListParagraph"/>
        <w:numPr>
          <w:ilvl w:val="2"/>
          <w:numId w:val="5"/>
        </w:numPr>
        <w:ind w:left="1080"/>
      </w:pPr>
      <w:r>
        <w:t xml:space="preserve">The faculty </w:t>
      </w:r>
      <w:r w:rsidR="00B1100B">
        <w:t xml:space="preserve">respondent </w:t>
      </w:r>
      <w:r>
        <w:t xml:space="preserve">has 15 calendar days from the date on which they receive the proposed discipline to respond to the Vice Provost to initiate a discussion regarding early resolution.   </w:t>
      </w:r>
    </w:p>
    <w:p w14:paraId="0B93FE57" w14:textId="77777777" w:rsidR="00456D5A" w:rsidRDefault="00456D5A" w:rsidP="002C6160">
      <w:pPr>
        <w:pStyle w:val="ListParagraph"/>
      </w:pPr>
    </w:p>
    <w:p w14:paraId="47EC1DFF" w14:textId="77207F5E" w:rsidR="00456D5A" w:rsidRDefault="00D47C86" w:rsidP="002C6160">
      <w:pPr>
        <w:pStyle w:val="ListParagraph"/>
        <w:numPr>
          <w:ilvl w:val="2"/>
          <w:numId w:val="5"/>
        </w:numPr>
        <w:ind w:left="1080"/>
      </w:pPr>
      <w:r>
        <w:t>An e</w:t>
      </w:r>
      <w:r w:rsidR="00456D5A">
        <w:t>xtens</w:t>
      </w:r>
      <w:r w:rsidR="002C6160">
        <w:t>i</w:t>
      </w:r>
      <w:r w:rsidR="00456D5A">
        <w:t xml:space="preserve">on of this timeline may be granted by the Chancellor, for good cause.  An example of good cause is when the University and respondent faculty are engaged in good-faith settlement negotiation for early resolutions involving faculty discipline.  </w:t>
      </w:r>
    </w:p>
    <w:p w14:paraId="7D9ACA0F" w14:textId="11E126A2" w:rsidR="00471C5D" w:rsidRDefault="00471C5D" w:rsidP="00471C5D"/>
    <w:p w14:paraId="5B7FE47E" w14:textId="77777777" w:rsidR="002C6160" w:rsidRDefault="002C6160" w:rsidP="00471C5D"/>
    <w:p w14:paraId="3646ABB1" w14:textId="1001CAA3" w:rsidR="00471C5D" w:rsidRPr="00AD1E87" w:rsidRDefault="002C6160" w:rsidP="00471C5D">
      <w:pPr>
        <w:rPr>
          <w:sz w:val="18"/>
          <w:szCs w:val="18"/>
        </w:rPr>
      </w:pPr>
      <w:r>
        <w:rPr>
          <w:sz w:val="18"/>
          <w:szCs w:val="18"/>
        </w:rPr>
        <w:t>Recorded by Academic Personnel</w:t>
      </w:r>
    </w:p>
    <w:p w14:paraId="0CF52391" w14:textId="336237A9" w:rsidR="00DB47B0" w:rsidRDefault="002C6160" w:rsidP="00471C5D">
      <w:pPr>
        <w:rPr>
          <w:sz w:val="18"/>
          <w:szCs w:val="18"/>
        </w:rPr>
      </w:pPr>
      <w:r>
        <w:rPr>
          <w:sz w:val="18"/>
          <w:szCs w:val="18"/>
        </w:rPr>
        <w:t>Initial Draft:  May 2017; Final Draft:</w:t>
      </w:r>
      <w:r w:rsidR="00471C5D" w:rsidRPr="00AD1E87">
        <w:rPr>
          <w:sz w:val="18"/>
          <w:szCs w:val="18"/>
        </w:rPr>
        <w:t xml:space="preserve">  </w:t>
      </w:r>
      <w:r w:rsidR="00DB47B0">
        <w:rPr>
          <w:sz w:val="18"/>
          <w:szCs w:val="18"/>
        </w:rPr>
        <w:t>May</w:t>
      </w:r>
      <w:r w:rsidR="00DC3196">
        <w:rPr>
          <w:sz w:val="18"/>
          <w:szCs w:val="18"/>
        </w:rPr>
        <w:t xml:space="preserve"> 201</w:t>
      </w:r>
      <w:r>
        <w:rPr>
          <w:sz w:val="18"/>
          <w:szCs w:val="18"/>
        </w:rPr>
        <w:t xml:space="preserve">8 </w:t>
      </w:r>
    </w:p>
    <w:p w14:paraId="0A8C0BA3" w14:textId="04316ECF" w:rsidR="009E4B04" w:rsidRPr="00AD1E87" w:rsidRDefault="00245339" w:rsidP="00471C5D">
      <w:pPr>
        <w:rPr>
          <w:sz w:val="18"/>
          <w:szCs w:val="18"/>
        </w:rPr>
      </w:pPr>
      <w:r>
        <w:rPr>
          <w:sz w:val="18"/>
          <w:szCs w:val="18"/>
        </w:rPr>
        <w:t>Last updated:</w:t>
      </w:r>
      <w:r w:rsidR="009E4B04">
        <w:rPr>
          <w:sz w:val="18"/>
          <w:szCs w:val="18"/>
        </w:rPr>
        <w:t xml:space="preserve">  </w:t>
      </w:r>
      <w:r>
        <w:rPr>
          <w:sz w:val="18"/>
          <w:szCs w:val="18"/>
        </w:rPr>
        <w:t>September</w:t>
      </w:r>
      <w:r w:rsidR="009E4B04">
        <w:rPr>
          <w:sz w:val="18"/>
          <w:szCs w:val="18"/>
        </w:rPr>
        <w:t xml:space="preserve"> 2018</w:t>
      </w:r>
    </w:p>
    <w:sectPr w:rsidR="009E4B04" w:rsidRPr="00AD1E87" w:rsidSect="00A36EBA">
      <w:headerReference w:type="even" r:id="rId11"/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1D228" w14:textId="77777777" w:rsidR="002B7295" w:rsidRDefault="002B7295" w:rsidP="00A36EBA">
      <w:r>
        <w:separator/>
      </w:r>
    </w:p>
  </w:endnote>
  <w:endnote w:type="continuationSeparator" w:id="0">
    <w:p w14:paraId="35249AE1" w14:textId="77777777" w:rsidR="002B7295" w:rsidRDefault="002B7295" w:rsidP="00A3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353C1" w14:textId="77777777" w:rsidR="002B7295" w:rsidRDefault="002B7295" w:rsidP="00A36EBA">
      <w:r>
        <w:separator/>
      </w:r>
    </w:p>
  </w:footnote>
  <w:footnote w:type="continuationSeparator" w:id="0">
    <w:p w14:paraId="5FB30DA5" w14:textId="77777777" w:rsidR="002B7295" w:rsidRDefault="002B7295" w:rsidP="00A36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205BB" w14:textId="3E6AB0E3" w:rsidR="00A36EBA" w:rsidRDefault="00A36EBA" w:rsidP="00453484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D6307F" w14:textId="77777777" w:rsidR="00A36EBA" w:rsidRDefault="00A36EBA" w:rsidP="00A36EB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8F4F6" w14:textId="11A55FF9" w:rsidR="00A36EBA" w:rsidRDefault="00A36EBA" w:rsidP="00453484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7164">
      <w:rPr>
        <w:rStyle w:val="PageNumber"/>
        <w:noProof/>
      </w:rPr>
      <w:t>1</w:t>
    </w:r>
    <w:r>
      <w:rPr>
        <w:rStyle w:val="PageNumber"/>
      </w:rPr>
      <w:fldChar w:fldCharType="end"/>
    </w:r>
  </w:p>
  <w:p w14:paraId="27F2E1B8" w14:textId="1E10C1B8" w:rsidR="00A36EBA" w:rsidRPr="00B532A0" w:rsidRDefault="00A36EBA" w:rsidP="00A36EBA">
    <w:pPr>
      <w:ind w:right="360"/>
      <w:rPr>
        <w:b/>
        <w:sz w:val="28"/>
        <w:szCs w:val="28"/>
      </w:rPr>
    </w:pPr>
    <w:r w:rsidRPr="00B532A0">
      <w:rPr>
        <w:b/>
        <w:sz w:val="28"/>
        <w:szCs w:val="28"/>
      </w:rPr>
      <w:t xml:space="preserve">Peer Review Committee (PRC) </w:t>
    </w:r>
    <w:r>
      <w:rPr>
        <w:b/>
        <w:sz w:val="28"/>
        <w:szCs w:val="28"/>
      </w:rPr>
      <w:t xml:space="preserve">- </w:t>
    </w:r>
    <w:r w:rsidRPr="00B532A0">
      <w:rPr>
        <w:b/>
        <w:sz w:val="28"/>
        <w:szCs w:val="28"/>
      </w:rPr>
      <w:t xml:space="preserve">est. AY 2016-17 </w:t>
    </w:r>
  </w:p>
  <w:p w14:paraId="5044B595" w14:textId="77777777" w:rsidR="002C6160" w:rsidRDefault="00A36EBA" w:rsidP="00A36EBA">
    <w:pPr>
      <w:pStyle w:val="Header"/>
      <w:rPr>
        <w:b/>
        <w:sz w:val="28"/>
        <w:szCs w:val="28"/>
      </w:rPr>
    </w:pPr>
    <w:r w:rsidRPr="00B532A0">
      <w:rPr>
        <w:b/>
        <w:sz w:val="28"/>
        <w:szCs w:val="28"/>
      </w:rPr>
      <w:t xml:space="preserve">UCI Campus Procedures </w:t>
    </w:r>
  </w:p>
  <w:p w14:paraId="697F05B1" w14:textId="76F706DE" w:rsidR="00A36EBA" w:rsidRDefault="00A36EBA" w:rsidP="00A36EBA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37FB"/>
    <w:multiLevelType w:val="hybridMultilevel"/>
    <w:tmpl w:val="C53626AC"/>
    <w:lvl w:ilvl="0" w:tplc="FF6EA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2614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D2A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34A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CA7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E67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4A3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C2C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4EC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F377CB"/>
    <w:multiLevelType w:val="hybridMultilevel"/>
    <w:tmpl w:val="E7925F86"/>
    <w:lvl w:ilvl="0" w:tplc="FEB2A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588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8C8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B62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44E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0AB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26A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CC7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DE7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F8040F"/>
    <w:multiLevelType w:val="hybridMultilevel"/>
    <w:tmpl w:val="C0121D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24868"/>
    <w:multiLevelType w:val="hybridMultilevel"/>
    <w:tmpl w:val="E51284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F4D46"/>
    <w:multiLevelType w:val="hybridMultilevel"/>
    <w:tmpl w:val="12882A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F1665CA8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417197"/>
    <w:multiLevelType w:val="hybridMultilevel"/>
    <w:tmpl w:val="E30AA0C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1">
      <w:start w:val="1"/>
      <w:numFmt w:val="decimal"/>
      <w:lvlText w:val="%3)"/>
      <w:lvlJc w:val="left"/>
      <w:pPr>
        <w:ind w:left="3060" w:hanging="36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D22268"/>
    <w:multiLevelType w:val="hybridMultilevel"/>
    <w:tmpl w:val="C388B384"/>
    <w:lvl w:ilvl="0" w:tplc="51D27EA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C588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8C8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B62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44E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0AB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26A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CC7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DE7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D5529A5"/>
    <w:multiLevelType w:val="hybridMultilevel"/>
    <w:tmpl w:val="843A18D4"/>
    <w:lvl w:ilvl="0" w:tplc="079AF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A1739"/>
    <w:multiLevelType w:val="multilevel"/>
    <w:tmpl w:val="5BFE7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88256D"/>
    <w:multiLevelType w:val="hybridMultilevel"/>
    <w:tmpl w:val="22706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C6796"/>
    <w:multiLevelType w:val="hybridMultilevel"/>
    <w:tmpl w:val="C4D471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7DCCAF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D3CFD"/>
    <w:multiLevelType w:val="hybridMultilevel"/>
    <w:tmpl w:val="0CB6056E"/>
    <w:lvl w:ilvl="0" w:tplc="C390E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821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B2B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F41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722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90D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9AC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049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2A8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F6F5F77"/>
    <w:multiLevelType w:val="hybridMultilevel"/>
    <w:tmpl w:val="E0BAD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261C53"/>
    <w:multiLevelType w:val="hybridMultilevel"/>
    <w:tmpl w:val="C584F884"/>
    <w:lvl w:ilvl="0" w:tplc="A73E8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223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2A6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622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165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386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366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468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984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DA354C7"/>
    <w:multiLevelType w:val="hybridMultilevel"/>
    <w:tmpl w:val="43F6B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4"/>
  </w:num>
  <w:num w:numId="5">
    <w:abstractNumId w:val="4"/>
  </w:num>
  <w:num w:numId="6">
    <w:abstractNumId w:val="1"/>
  </w:num>
  <w:num w:numId="7">
    <w:abstractNumId w:val="11"/>
  </w:num>
  <w:num w:numId="8">
    <w:abstractNumId w:val="7"/>
  </w:num>
  <w:num w:numId="9">
    <w:abstractNumId w:val="6"/>
  </w:num>
  <w:num w:numId="10">
    <w:abstractNumId w:val="10"/>
  </w:num>
  <w:num w:numId="11">
    <w:abstractNumId w:val="12"/>
  </w:num>
  <w:num w:numId="12">
    <w:abstractNumId w:val="2"/>
  </w:num>
  <w:num w:numId="13">
    <w:abstractNumId w:val="3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672"/>
    <w:rsid w:val="00006D72"/>
    <w:rsid w:val="000074C7"/>
    <w:rsid w:val="00011413"/>
    <w:rsid w:val="00016867"/>
    <w:rsid w:val="00023765"/>
    <w:rsid w:val="00032F2B"/>
    <w:rsid w:val="00037F27"/>
    <w:rsid w:val="0004640E"/>
    <w:rsid w:val="0004671E"/>
    <w:rsid w:val="00055B21"/>
    <w:rsid w:val="0005631C"/>
    <w:rsid w:val="00065DA6"/>
    <w:rsid w:val="00083D73"/>
    <w:rsid w:val="00084C25"/>
    <w:rsid w:val="00093ED5"/>
    <w:rsid w:val="000A7366"/>
    <w:rsid w:val="000C24E6"/>
    <w:rsid w:val="000C33E8"/>
    <w:rsid w:val="000C7F57"/>
    <w:rsid w:val="000D09E7"/>
    <w:rsid w:val="000D3D84"/>
    <w:rsid w:val="000D4BA8"/>
    <w:rsid w:val="000E1AA3"/>
    <w:rsid w:val="000E2D3E"/>
    <w:rsid w:val="00102C3A"/>
    <w:rsid w:val="00104F3E"/>
    <w:rsid w:val="0011400C"/>
    <w:rsid w:val="00114330"/>
    <w:rsid w:val="00114CEC"/>
    <w:rsid w:val="0011697C"/>
    <w:rsid w:val="001213C6"/>
    <w:rsid w:val="00124329"/>
    <w:rsid w:val="00131945"/>
    <w:rsid w:val="00133DDC"/>
    <w:rsid w:val="00133FD4"/>
    <w:rsid w:val="001358B8"/>
    <w:rsid w:val="001444A7"/>
    <w:rsid w:val="0015383A"/>
    <w:rsid w:val="00154477"/>
    <w:rsid w:val="00161AE5"/>
    <w:rsid w:val="001634F7"/>
    <w:rsid w:val="00170B86"/>
    <w:rsid w:val="00176165"/>
    <w:rsid w:val="0018212D"/>
    <w:rsid w:val="00183366"/>
    <w:rsid w:val="00184231"/>
    <w:rsid w:val="001971FA"/>
    <w:rsid w:val="001A1414"/>
    <w:rsid w:val="001A46BC"/>
    <w:rsid w:val="001A6F84"/>
    <w:rsid w:val="001C2B1E"/>
    <w:rsid w:val="001C46AE"/>
    <w:rsid w:val="001C5378"/>
    <w:rsid w:val="001C67BE"/>
    <w:rsid w:val="001D2E77"/>
    <w:rsid w:val="001D36A2"/>
    <w:rsid w:val="001D42A1"/>
    <w:rsid w:val="001D679C"/>
    <w:rsid w:val="001E59C5"/>
    <w:rsid w:val="002020B5"/>
    <w:rsid w:val="00202F87"/>
    <w:rsid w:val="00203591"/>
    <w:rsid w:val="00205595"/>
    <w:rsid w:val="00211950"/>
    <w:rsid w:val="0021312B"/>
    <w:rsid w:val="0021793C"/>
    <w:rsid w:val="00222DED"/>
    <w:rsid w:val="002269B2"/>
    <w:rsid w:val="002406E9"/>
    <w:rsid w:val="002428E7"/>
    <w:rsid w:val="00244954"/>
    <w:rsid w:val="00245339"/>
    <w:rsid w:val="002514FF"/>
    <w:rsid w:val="00253B6D"/>
    <w:rsid w:val="00253D2B"/>
    <w:rsid w:val="0026303B"/>
    <w:rsid w:val="002643B9"/>
    <w:rsid w:val="00264EB5"/>
    <w:rsid w:val="00264F30"/>
    <w:rsid w:val="00270664"/>
    <w:rsid w:val="00271F39"/>
    <w:rsid w:val="00277710"/>
    <w:rsid w:val="002813E9"/>
    <w:rsid w:val="00282772"/>
    <w:rsid w:val="002863D7"/>
    <w:rsid w:val="0028765B"/>
    <w:rsid w:val="00292E72"/>
    <w:rsid w:val="00292F07"/>
    <w:rsid w:val="00296A31"/>
    <w:rsid w:val="002A1A5D"/>
    <w:rsid w:val="002B54FA"/>
    <w:rsid w:val="002B7295"/>
    <w:rsid w:val="002C32C2"/>
    <w:rsid w:val="002C4181"/>
    <w:rsid w:val="002C6160"/>
    <w:rsid w:val="002C6A8F"/>
    <w:rsid w:val="002C6B66"/>
    <w:rsid w:val="002D1DF4"/>
    <w:rsid w:val="002D5CD1"/>
    <w:rsid w:val="002E084F"/>
    <w:rsid w:val="002E5A3C"/>
    <w:rsid w:val="002F136D"/>
    <w:rsid w:val="002F6264"/>
    <w:rsid w:val="002F7C4C"/>
    <w:rsid w:val="00306DED"/>
    <w:rsid w:val="00310722"/>
    <w:rsid w:val="00311634"/>
    <w:rsid w:val="00313C13"/>
    <w:rsid w:val="003248B2"/>
    <w:rsid w:val="0032665F"/>
    <w:rsid w:val="00330F36"/>
    <w:rsid w:val="00330FBA"/>
    <w:rsid w:val="0034344E"/>
    <w:rsid w:val="00344478"/>
    <w:rsid w:val="00351591"/>
    <w:rsid w:val="00353CDE"/>
    <w:rsid w:val="00364D84"/>
    <w:rsid w:val="00365DFC"/>
    <w:rsid w:val="00374B2F"/>
    <w:rsid w:val="00376658"/>
    <w:rsid w:val="00381D3D"/>
    <w:rsid w:val="003845C5"/>
    <w:rsid w:val="00397B8D"/>
    <w:rsid w:val="003A0D10"/>
    <w:rsid w:val="003A15E0"/>
    <w:rsid w:val="003A2F20"/>
    <w:rsid w:val="003B47B9"/>
    <w:rsid w:val="003C11EC"/>
    <w:rsid w:val="003C4D53"/>
    <w:rsid w:val="003C5DE4"/>
    <w:rsid w:val="003D259C"/>
    <w:rsid w:val="003E45D2"/>
    <w:rsid w:val="003E6012"/>
    <w:rsid w:val="003F2024"/>
    <w:rsid w:val="003F4F7D"/>
    <w:rsid w:val="003F6502"/>
    <w:rsid w:val="00404751"/>
    <w:rsid w:val="004061B3"/>
    <w:rsid w:val="00410D66"/>
    <w:rsid w:val="004113B4"/>
    <w:rsid w:val="0041548F"/>
    <w:rsid w:val="004174AB"/>
    <w:rsid w:val="00421352"/>
    <w:rsid w:val="00423672"/>
    <w:rsid w:val="00423757"/>
    <w:rsid w:val="0043151F"/>
    <w:rsid w:val="00434556"/>
    <w:rsid w:val="00437917"/>
    <w:rsid w:val="00445CC7"/>
    <w:rsid w:val="00446395"/>
    <w:rsid w:val="0044647E"/>
    <w:rsid w:val="004469AB"/>
    <w:rsid w:val="004469C9"/>
    <w:rsid w:val="004516AA"/>
    <w:rsid w:val="00451C7B"/>
    <w:rsid w:val="0045225E"/>
    <w:rsid w:val="00456D5A"/>
    <w:rsid w:val="00466C57"/>
    <w:rsid w:val="00471156"/>
    <w:rsid w:val="0047182F"/>
    <w:rsid w:val="00471C5D"/>
    <w:rsid w:val="00475206"/>
    <w:rsid w:val="004817AA"/>
    <w:rsid w:val="00481E0C"/>
    <w:rsid w:val="00485086"/>
    <w:rsid w:val="00490F2E"/>
    <w:rsid w:val="0049666F"/>
    <w:rsid w:val="004A1E4C"/>
    <w:rsid w:val="004A3575"/>
    <w:rsid w:val="004B0D4E"/>
    <w:rsid w:val="004B2D47"/>
    <w:rsid w:val="004C0AEE"/>
    <w:rsid w:val="004C2F52"/>
    <w:rsid w:val="004C72C9"/>
    <w:rsid w:val="004D2C46"/>
    <w:rsid w:val="004E3946"/>
    <w:rsid w:val="004E5F00"/>
    <w:rsid w:val="004E76D8"/>
    <w:rsid w:val="004F486F"/>
    <w:rsid w:val="004F6CEA"/>
    <w:rsid w:val="0050281E"/>
    <w:rsid w:val="00505024"/>
    <w:rsid w:val="0051263A"/>
    <w:rsid w:val="00514E27"/>
    <w:rsid w:val="00515B5A"/>
    <w:rsid w:val="00516CEC"/>
    <w:rsid w:val="00520070"/>
    <w:rsid w:val="0053089A"/>
    <w:rsid w:val="00545759"/>
    <w:rsid w:val="00547329"/>
    <w:rsid w:val="00561512"/>
    <w:rsid w:val="00561527"/>
    <w:rsid w:val="0056296B"/>
    <w:rsid w:val="00565D13"/>
    <w:rsid w:val="00567395"/>
    <w:rsid w:val="005715C1"/>
    <w:rsid w:val="005807FB"/>
    <w:rsid w:val="00580804"/>
    <w:rsid w:val="0058137B"/>
    <w:rsid w:val="00597702"/>
    <w:rsid w:val="005A7164"/>
    <w:rsid w:val="005B0ACA"/>
    <w:rsid w:val="005B5EDD"/>
    <w:rsid w:val="005C03B3"/>
    <w:rsid w:val="005D46EA"/>
    <w:rsid w:val="005D47A8"/>
    <w:rsid w:val="005E5DAA"/>
    <w:rsid w:val="005F0BC1"/>
    <w:rsid w:val="005F1B2F"/>
    <w:rsid w:val="005F1BC2"/>
    <w:rsid w:val="005F3870"/>
    <w:rsid w:val="005F4055"/>
    <w:rsid w:val="00605D31"/>
    <w:rsid w:val="00614DDC"/>
    <w:rsid w:val="006235C3"/>
    <w:rsid w:val="00625E49"/>
    <w:rsid w:val="00630758"/>
    <w:rsid w:val="00632004"/>
    <w:rsid w:val="00634B3D"/>
    <w:rsid w:val="0063613B"/>
    <w:rsid w:val="00640590"/>
    <w:rsid w:val="006414A4"/>
    <w:rsid w:val="0064752B"/>
    <w:rsid w:val="006512A1"/>
    <w:rsid w:val="00667753"/>
    <w:rsid w:val="006A1268"/>
    <w:rsid w:val="006A27D3"/>
    <w:rsid w:val="006A28D5"/>
    <w:rsid w:val="006A39B0"/>
    <w:rsid w:val="006A4BAC"/>
    <w:rsid w:val="006B11A0"/>
    <w:rsid w:val="006B339E"/>
    <w:rsid w:val="006B6563"/>
    <w:rsid w:val="006C401F"/>
    <w:rsid w:val="006C5EC7"/>
    <w:rsid w:val="006C6610"/>
    <w:rsid w:val="006E3782"/>
    <w:rsid w:val="006E7652"/>
    <w:rsid w:val="006F1B5A"/>
    <w:rsid w:val="006F7A16"/>
    <w:rsid w:val="00710EF2"/>
    <w:rsid w:val="00713C55"/>
    <w:rsid w:val="00714C3D"/>
    <w:rsid w:val="00715C79"/>
    <w:rsid w:val="0072071B"/>
    <w:rsid w:val="00727C7D"/>
    <w:rsid w:val="00727F18"/>
    <w:rsid w:val="0073513D"/>
    <w:rsid w:val="00736C12"/>
    <w:rsid w:val="00742CB6"/>
    <w:rsid w:val="00744D39"/>
    <w:rsid w:val="00752705"/>
    <w:rsid w:val="00754211"/>
    <w:rsid w:val="00760F8F"/>
    <w:rsid w:val="007652C1"/>
    <w:rsid w:val="00766B50"/>
    <w:rsid w:val="00766FE6"/>
    <w:rsid w:val="007671F8"/>
    <w:rsid w:val="007704C5"/>
    <w:rsid w:val="007706E8"/>
    <w:rsid w:val="00773CEB"/>
    <w:rsid w:val="007747D7"/>
    <w:rsid w:val="0077614B"/>
    <w:rsid w:val="00781C7F"/>
    <w:rsid w:val="00790B60"/>
    <w:rsid w:val="00793193"/>
    <w:rsid w:val="007A38EA"/>
    <w:rsid w:val="007A52CD"/>
    <w:rsid w:val="007A5613"/>
    <w:rsid w:val="007A7697"/>
    <w:rsid w:val="007B228E"/>
    <w:rsid w:val="007B4673"/>
    <w:rsid w:val="007C01B1"/>
    <w:rsid w:val="007C4D66"/>
    <w:rsid w:val="007C4ED7"/>
    <w:rsid w:val="007C7E6D"/>
    <w:rsid w:val="007E20F4"/>
    <w:rsid w:val="007E2B7D"/>
    <w:rsid w:val="007F701A"/>
    <w:rsid w:val="00805601"/>
    <w:rsid w:val="00805EF2"/>
    <w:rsid w:val="00814C6D"/>
    <w:rsid w:val="00815DF2"/>
    <w:rsid w:val="0081634E"/>
    <w:rsid w:val="008276C2"/>
    <w:rsid w:val="00830F45"/>
    <w:rsid w:val="008323C2"/>
    <w:rsid w:val="008331E0"/>
    <w:rsid w:val="008334B3"/>
    <w:rsid w:val="008360A9"/>
    <w:rsid w:val="00836623"/>
    <w:rsid w:val="0083678E"/>
    <w:rsid w:val="0084177C"/>
    <w:rsid w:val="00842098"/>
    <w:rsid w:val="00842309"/>
    <w:rsid w:val="008640AD"/>
    <w:rsid w:val="00865602"/>
    <w:rsid w:val="008756C7"/>
    <w:rsid w:val="00882B54"/>
    <w:rsid w:val="00883886"/>
    <w:rsid w:val="008844DF"/>
    <w:rsid w:val="00884FCF"/>
    <w:rsid w:val="00885B1B"/>
    <w:rsid w:val="008A101F"/>
    <w:rsid w:val="008A1F50"/>
    <w:rsid w:val="008A228E"/>
    <w:rsid w:val="008A51FC"/>
    <w:rsid w:val="008B3D80"/>
    <w:rsid w:val="008B4AFB"/>
    <w:rsid w:val="008B4E36"/>
    <w:rsid w:val="008C3F12"/>
    <w:rsid w:val="008C4165"/>
    <w:rsid w:val="008C4316"/>
    <w:rsid w:val="008C77C5"/>
    <w:rsid w:val="008D1F88"/>
    <w:rsid w:val="008D57A9"/>
    <w:rsid w:val="008E0294"/>
    <w:rsid w:val="008E0A95"/>
    <w:rsid w:val="008E1797"/>
    <w:rsid w:val="008E6689"/>
    <w:rsid w:val="008F1C51"/>
    <w:rsid w:val="008F7FCE"/>
    <w:rsid w:val="00903094"/>
    <w:rsid w:val="00904202"/>
    <w:rsid w:val="00905F15"/>
    <w:rsid w:val="00922AD8"/>
    <w:rsid w:val="00937289"/>
    <w:rsid w:val="0094067E"/>
    <w:rsid w:val="00940A71"/>
    <w:rsid w:val="009411AA"/>
    <w:rsid w:val="009426CA"/>
    <w:rsid w:val="009446EF"/>
    <w:rsid w:val="0094545A"/>
    <w:rsid w:val="00957624"/>
    <w:rsid w:val="00973994"/>
    <w:rsid w:val="00980559"/>
    <w:rsid w:val="00983E77"/>
    <w:rsid w:val="00984BE4"/>
    <w:rsid w:val="00986F6F"/>
    <w:rsid w:val="009874C4"/>
    <w:rsid w:val="00990ECD"/>
    <w:rsid w:val="009972F3"/>
    <w:rsid w:val="009A11BD"/>
    <w:rsid w:val="009A1B01"/>
    <w:rsid w:val="009A68DA"/>
    <w:rsid w:val="009B1E83"/>
    <w:rsid w:val="009C3227"/>
    <w:rsid w:val="009D275A"/>
    <w:rsid w:val="009D4E9B"/>
    <w:rsid w:val="009D54EC"/>
    <w:rsid w:val="009D59B8"/>
    <w:rsid w:val="009D6532"/>
    <w:rsid w:val="009D777C"/>
    <w:rsid w:val="009E4012"/>
    <w:rsid w:val="009E4B04"/>
    <w:rsid w:val="009E7645"/>
    <w:rsid w:val="009F718D"/>
    <w:rsid w:val="009F7556"/>
    <w:rsid w:val="00A10EA9"/>
    <w:rsid w:val="00A160E7"/>
    <w:rsid w:val="00A22EDF"/>
    <w:rsid w:val="00A26840"/>
    <w:rsid w:val="00A271CA"/>
    <w:rsid w:val="00A30145"/>
    <w:rsid w:val="00A31671"/>
    <w:rsid w:val="00A354F0"/>
    <w:rsid w:val="00A361F2"/>
    <w:rsid w:val="00A36EBA"/>
    <w:rsid w:val="00A41AB5"/>
    <w:rsid w:val="00A4238B"/>
    <w:rsid w:val="00A54602"/>
    <w:rsid w:val="00A55FA8"/>
    <w:rsid w:val="00A6081A"/>
    <w:rsid w:val="00A62269"/>
    <w:rsid w:val="00A63786"/>
    <w:rsid w:val="00A800C1"/>
    <w:rsid w:val="00A81EE6"/>
    <w:rsid w:val="00A90FC1"/>
    <w:rsid w:val="00A96F7C"/>
    <w:rsid w:val="00AA1662"/>
    <w:rsid w:val="00AA3DEB"/>
    <w:rsid w:val="00AA629A"/>
    <w:rsid w:val="00AB3E87"/>
    <w:rsid w:val="00AB4C10"/>
    <w:rsid w:val="00AC3A61"/>
    <w:rsid w:val="00AC3A91"/>
    <w:rsid w:val="00AD1E87"/>
    <w:rsid w:val="00AD6D02"/>
    <w:rsid w:val="00AE192D"/>
    <w:rsid w:val="00AE695B"/>
    <w:rsid w:val="00AF6021"/>
    <w:rsid w:val="00B0753F"/>
    <w:rsid w:val="00B1100B"/>
    <w:rsid w:val="00B16777"/>
    <w:rsid w:val="00B21830"/>
    <w:rsid w:val="00B223EE"/>
    <w:rsid w:val="00B224E2"/>
    <w:rsid w:val="00B261B1"/>
    <w:rsid w:val="00B34D97"/>
    <w:rsid w:val="00B356A0"/>
    <w:rsid w:val="00B40853"/>
    <w:rsid w:val="00B4087A"/>
    <w:rsid w:val="00B42358"/>
    <w:rsid w:val="00B45E38"/>
    <w:rsid w:val="00B532A0"/>
    <w:rsid w:val="00B60C8D"/>
    <w:rsid w:val="00B614B3"/>
    <w:rsid w:val="00B641A0"/>
    <w:rsid w:val="00B80699"/>
    <w:rsid w:val="00B91EAC"/>
    <w:rsid w:val="00B9360B"/>
    <w:rsid w:val="00BA15DD"/>
    <w:rsid w:val="00BA6F7A"/>
    <w:rsid w:val="00BC0AA7"/>
    <w:rsid w:val="00BC2061"/>
    <w:rsid w:val="00BC24EB"/>
    <w:rsid w:val="00BD2F28"/>
    <w:rsid w:val="00BD54B9"/>
    <w:rsid w:val="00BD5BDC"/>
    <w:rsid w:val="00BE4B9A"/>
    <w:rsid w:val="00BE7E04"/>
    <w:rsid w:val="00BF5C16"/>
    <w:rsid w:val="00BF6AEF"/>
    <w:rsid w:val="00C00B68"/>
    <w:rsid w:val="00C041B1"/>
    <w:rsid w:val="00C05A4C"/>
    <w:rsid w:val="00C1270F"/>
    <w:rsid w:val="00C14FC4"/>
    <w:rsid w:val="00C320C8"/>
    <w:rsid w:val="00C33487"/>
    <w:rsid w:val="00C36E54"/>
    <w:rsid w:val="00C37C88"/>
    <w:rsid w:val="00C40C67"/>
    <w:rsid w:val="00C46548"/>
    <w:rsid w:val="00C51BBD"/>
    <w:rsid w:val="00C57B60"/>
    <w:rsid w:val="00C618C9"/>
    <w:rsid w:val="00C62FB7"/>
    <w:rsid w:val="00C73370"/>
    <w:rsid w:val="00C77D1C"/>
    <w:rsid w:val="00C845C2"/>
    <w:rsid w:val="00C861A6"/>
    <w:rsid w:val="00C8693C"/>
    <w:rsid w:val="00CA7441"/>
    <w:rsid w:val="00CB07C4"/>
    <w:rsid w:val="00CB186C"/>
    <w:rsid w:val="00CB6F78"/>
    <w:rsid w:val="00CD182D"/>
    <w:rsid w:val="00CD344A"/>
    <w:rsid w:val="00CD3498"/>
    <w:rsid w:val="00CD4E8A"/>
    <w:rsid w:val="00CE4148"/>
    <w:rsid w:val="00CF0D4F"/>
    <w:rsid w:val="00CF159F"/>
    <w:rsid w:val="00D03CB3"/>
    <w:rsid w:val="00D03ECE"/>
    <w:rsid w:val="00D10000"/>
    <w:rsid w:val="00D17CC2"/>
    <w:rsid w:val="00D219CE"/>
    <w:rsid w:val="00D21CFB"/>
    <w:rsid w:val="00D270BC"/>
    <w:rsid w:val="00D30CEF"/>
    <w:rsid w:val="00D31704"/>
    <w:rsid w:val="00D32D48"/>
    <w:rsid w:val="00D357CB"/>
    <w:rsid w:val="00D36C14"/>
    <w:rsid w:val="00D370ED"/>
    <w:rsid w:val="00D42FA0"/>
    <w:rsid w:val="00D457B5"/>
    <w:rsid w:val="00D47C86"/>
    <w:rsid w:val="00D53806"/>
    <w:rsid w:val="00D5794E"/>
    <w:rsid w:val="00D57F8B"/>
    <w:rsid w:val="00D600BF"/>
    <w:rsid w:val="00D60418"/>
    <w:rsid w:val="00D635B1"/>
    <w:rsid w:val="00D72267"/>
    <w:rsid w:val="00D737BF"/>
    <w:rsid w:val="00D81920"/>
    <w:rsid w:val="00D87DE3"/>
    <w:rsid w:val="00D90506"/>
    <w:rsid w:val="00D93BF2"/>
    <w:rsid w:val="00D946E4"/>
    <w:rsid w:val="00D94BA6"/>
    <w:rsid w:val="00DA292E"/>
    <w:rsid w:val="00DA32D7"/>
    <w:rsid w:val="00DA604C"/>
    <w:rsid w:val="00DB47B0"/>
    <w:rsid w:val="00DB4D0C"/>
    <w:rsid w:val="00DC3196"/>
    <w:rsid w:val="00DC4FEA"/>
    <w:rsid w:val="00DC54AC"/>
    <w:rsid w:val="00DD3886"/>
    <w:rsid w:val="00DD681F"/>
    <w:rsid w:val="00DE1B7F"/>
    <w:rsid w:val="00DE2096"/>
    <w:rsid w:val="00DE5EE7"/>
    <w:rsid w:val="00DE62F3"/>
    <w:rsid w:val="00DF5CDA"/>
    <w:rsid w:val="00DF7109"/>
    <w:rsid w:val="00E14EB1"/>
    <w:rsid w:val="00E14FBE"/>
    <w:rsid w:val="00E22954"/>
    <w:rsid w:val="00E248F9"/>
    <w:rsid w:val="00E31613"/>
    <w:rsid w:val="00E328B7"/>
    <w:rsid w:val="00E45413"/>
    <w:rsid w:val="00E4617D"/>
    <w:rsid w:val="00E46255"/>
    <w:rsid w:val="00E51BBB"/>
    <w:rsid w:val="00E527D7"/>
    <w:rsid w:val="00E5486E"/>
    <w:rsid w:val="00E62EEC"/>
    <w:rsid w:val="00E63D60"/>
    <w:rsid w:val="00E71F5E"/>
    <w:rsid w:val="00E73A08"/>
    <w:rsid w:val="00E81EF7"/>
    <w:rsid w:val="00E845BB"/>
    <w:rsid w:val="00E84801"/>
    <w:rsid w:val="00E852E5"/>
    <w:rsid w:val="00E90058"/>
    <w:rsid w:val="00E93ACE"/>
    <w:rsid w:val="00E97DC5"/>
    <w:rsid w:val="00EA4D6B"/>
    <w:rsid w:val="00EA66D9"/>
    <w:rsid w:val="00EC5383"/>
    <w:rsid w:val="00ED5CA6"/>
    <w:rsid w:val="00ED6036"/>
    <w:rsid w:val="00ED6D4D"/>
    <w:rsid w:val="00EE64BD"/>
    <w:rsid w:val="00EF57C9"/>
    <w:rsid w:val="00F00750"/>
    <w:rsid w:val="00F04D26"/>
    <w:rsid w:val="00F11D33"/>
    <w:rsid w:val="00F21B67"/>
    <w:rsid w:val="00F24686"/>
    <w:rsid w:val="00F27304"/>
    <w:rsid w:val="00F32F9F"/>
    <w:rsid w:val="00F44021"/>
    <w:rsid w:val="00F50BB0"/>
    <w:rsid w:val="00F547CC"/>
    <w:rsid w:val="00F573CA"/>
    <w:rsid w:val="00F612FF"/>
    <w:rsid w:val="00F771B8"/>
    <w:rsid w:val="00F83519"/>
    <w:rsid w:val="00F863D5"/>
    <w:rsid w:val="00F966A7"/>
    <w:rsid w:val="00F971A7"/>
    <w:rsid w:val="00F978B7"/>
    <w:rsid w:val="00FA4E0B"/>
    <w:rsid w:val="00FA6D1B"/>
    <w:rsid w:val="00FB5DDA"/>
    <w:rsid w:val="00FC3E49"/>
    <w:rsid w:val="00FC4202"/>
    <w:rsid w:val="00FC5C13"/>
    <w:rsid w:val="00FC5FB7"/>
    <w:rsid w:val="00FD6B77"/>
    <w:rsid w:val="00FE6650"/>
    <w:rsid w:val="00FF364B"/>
    <w:rsid w:val="00FF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B4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6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3672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261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6E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EBA"/>
  </w:style>
  <w:style w:type="paragraph" w:styleId="Footer">
    <w:name w:val="footer"/>
    <w:basedOn w:val="Normal"/>
    <w:link w:val="FooterChar"/>
    <w:uiPriority w:val="99"/>
    <w:unhideWhenUsed/>
    <w:rsid w:val="00A36E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EBA"/>
  </w:style>
  <w:style w:type="paragraph" w:styleId="NoSpacing">
    <w:name w:val="No Spacing"/>
    <w:uiPriority w:val="1"/>
    <w:qFormat/>
    <w:rsid w:val="00A36EBA"/>
    <w:rPr>
      <w:rFonts w:eastAsiaTheme="minorEastAsia"/>
      <w:sz w:val="22"/>
      <w:szCs w:val="22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A36EBA"/>
  </w:style>
  <w:style w:type="character" w:styleId="Hyperlink">
    <w:name w:val="Hyperlink"/>
    <w:basedOn w:val="DefaultParagraphFont"/>
    <w:uiPriority w:val="99"/>
    <w:unhideWhenUsed/>
    <w:rsid w:val="00D7226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B6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B6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6C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C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C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C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C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8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7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7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5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8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4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09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5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5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6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2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85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15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96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op.edu/academic-personnel-programs/_files/apm/apm-015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licy.ucop.edu/doc/4000385/SVSH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applewebdata://1CFA9951-8EF8-472C-BB1C-74A7C6F9DCDE/../files/policies/UCI_Sexual_Harassment_and_Sex%20Offense_Investigation_and_Adjudication_Framewor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op.edu/academic-personnel-programs/_files/apm/apm-016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Review Committee (PRC) - est. AY 2016-17 
UCI Campus Procedures 
</vt:lpstr>
    </vt:vector>
  </TitlesOfParts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Review Committee (PRC) - est. AY 2016-17 
UCI Campus Procedures 
</dc:title>
  <dc:subject/>
  <dc:creator>Marianne Liu Beckett</dc:creator>
  <cp:keywords/>
  <dc:description/>
  <cp:lastModifiedBy>Marianne Liu Beckett</cp:lastModifiedBy>
  <cp:revision>2</cp:revision>
  <dcterms:created xsi:type="dcterms:W3CDTF">2018-09-05T21:00:00Z</dcterms:created>
  <dcterms:modified xsi:type="dcterms:W3CDTF">2018-09-05T21:00:00Z</dcterms:modified>
</cp:coreProperties>
</file>